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left w:w="115" w:type="dxa"/>
          <w:right w:w="115" w:type="dxa"/>
        </w:tblCellMar>
        <w:tblLook w:val="04A0" w:firstRow="1" w:lastRow="0" w:firstColumn="1" w:lastColumn="0" w:noHBand="0" w:noVBand="1"/>
      </w:tblPr>
      <w:tblGrid>
        <w:gridCol w:w="2398"/>
        <w:gridCol w:w="2398"/>
        <w:gridCol w:w="2398"/>
        <w:gridCol w:w="2398"/>
        <w:gridCol w:w="2399"/>
        <w:gridCol w:w="2399"/>
      </w:tblGrid>
      <w:tr w:rsidR="002619FC" w:rsidTr="002619FC">
        <w:tc>
          <w:tcPr>
            <w:tcW w:w="14390" w:type="dxa"/>
            <w:gridSpan w:val="6"/>
            <w:shd w:val="clear" w:color="auto" w:fill="A6A6A6" w:themeFill="background1" w:themeFillShade="A6"/>
          </w:tcPr>
          <w:p w:rsidR="002619FC" w:rsidRPr="002619FC" w:rsidRDefault="002619FC" w:rsidP="00DD6819">
            <w:pPr>
              <w:jc w:val="center"/>
              <w:rPr>
                <w:b/>
              </w:rPr>
            </w:pPr>
            <w:r w:rsidRPr="002619FC">
              <w:rPr>
                <w:b/>
                <w:sz w:val="32"/>
              </w:rPr>
              <w:t>P</w:t>
            </w:r>
            <w:r w:rsidR="00DD6819">
              <w:rPr>
                <w:b/>
                <w:sz w:val="32"/>
              </w:rPr>
              <w:t>3</w:t>
            </w:r>
            <w:bookmarkStart w:id="0" w:name="_GoBack"/>
            <w:bookmarkEnd w:id="0"/>
            <w:r w:rsidRPr="002619FC">
              <w:rPr>
                <w:b/>
                <w:sz w:val="32"/>
              </w:rPr>
              <w:t xml:space="preserve"> Systems: Alignment Activit</w:t>
            </w:r>
            <w:r w:rsidR="00101B98">
              <w:rPr>
                <w:b/>
                <w:sz w:val="32"/>
              </w:rPr>
              <w:t>ies</w:t>
            </w:r>
          </w:p>
        </w:tc>
      </w:tr>
      <w:tr w:rsidR="002619FC" w:rsidTr="002619FC">
        <w:trPr>
          <w:trHeight w:val="215"/>
        </w:trPr>
        <w:tc>
          <w:tcPr>
            <w:tcW w:w="2398" w:type="dxa"/>
            <w:shd w:val="clear" w:color="auto" w:fill="D9D9D9" w:themeFill="background1" w:themeFillShade="D9"/>
          </w:tcPr>
          <w:p w:rsidR="002619FC" w:rsidRPr="002619FC" w:rsidRDefault="002619FC" w:rsidP="00073127">
            <w:pPr>
              <w:rPr>
                <w:b/>
              </w:rPr>
            </w:pPr>
            <w:r w:rsidRPr="002619FC">
              <w:rPr>
                <w:b/>
              </w:rPr>
              <w:t>PreK-3 Element</w:t>
            </w:r>
          </w:p>
        </w:tc>
        <w:tc>
          <w:tcPr>
            <w:tcW w:w="2398" w:type="dxa"/>
            <w:shd w:val="clear" w:color="auto" w:fill="D9D9D9" w:themeFill="background1" w:themeFillShade="D9"/>
          </w:tcPr>
          <w:p w:rsidR="002619FC" w:rsidRPr="002619FC" w:rsidRDefault="002619FC" w:rsidP="00073127">
            <w:pPr>
              <w:rPr>
                <w:b/>
              </w:rPr>
            </w:pPr>
            <w:r w:rsidRPr="002619FC">
              <w:rPr>
                <w:b/>
              </w:rPr>
              <w:t>Initial Assessment</w:t>
            </w:r>
          </w:p>
        </w:tc>
        <w:tc>
          <w:tcPr>
            <w:tcW w:w="2398" w:type="dxa"/>
            <w:shd w:val="clear" w:color="auto" w:fill="D9D9D9" w:themeFill="background1" w:themeFillShade="D9"/>
          </w:tcPr>
          <w:p w:rsidR="002619FC" w:rsidRPr="002619FC" w:rsidRDefault="002619FC" w:rsidP="00073127">
            <w:pPr>
              <w:rPr>
                <w:b/>
              </w:rPr>
            </w:pPr>
            <w:r w:rsidRPr="002619FC">
              <w:rPr>
                <w:b/>
              </w:rPr>
              <w:t>Horizontal</w:t>
            </w:r>
          </w:p>
        </w:tc>
        <w:tc>
          <w:tcPr>
            <w:tcW w:w="2398" w:type="dxa"/>
            <w:shd w:val="clear" w:color="auto" w:fill="D9D9D9" w:themeFill="background1" w:themeFillShade="D9"/>
          </w:tcPr>
          <w:p w:rsidR="002619FC" w:rsidRPr="002619FC" w:rsidRDefault="002619FC" w:rsidP="00073127">
            <w:pPr>
              <w:rPr>
                <w:b/>
              </w:rPr>
            </w:pPr>
            <w:r w:rsidRPr="002619FC">
              <w:rPr>
                <w:b/>
              </w:rPr>
              <w:t>Vertical</w:t>
            </w:r>
          </w:p>
        </w:tc>
        <w:tc>
          <w:tcPr>
            <w:tcW w:w="2399" w:type="dxa"/>
            <w:shd w:val="clear" w:color="auto" w:fill="D9D9D9" w:themeFill="background1" w:themeFillShade="D9"/>
          </w:tcPr>
          <w:p w:rsidR="002619FC" w:rsidRPr="002619FC" w:rsidRDefault="002619FC" w:rsidP="00073127">
            <w:pPr>
              <w:rPr>
                <w:b/>
              </w:rPr>
            </w:pPr>
            <w:r w:rsidRPr="002619FC">
              <w:rPr>
                <w:b/>
              </w:rPr>
              <w:t>Action</w:t>
            </w:r>
          </w:p>
        </w:tc>
        <w:tc>
          <w:tcPr>
            <w:tcW w:w="2399" w:type="dxa"/>
            <w:shd w:val="clear" w:color="auto" w:fill="D9D9D9" w:themeFill="background1" w:themeFillShade="D9"/>
          </w:tcPr>
          <w:p w:rsidR="002619FC" w:rsidRPr="002619FC" w:rsidRDefault="002619FC" w:rsidP="00073127">
            <w:pPr>
              <w:rPr>
                <w:b/>
              </w:rPr>
            </w:pPr>
            <w:r w:rsidRPr="002619FC">
              <w:rPr>
                <w:b/>
              </w:rPr>
              <w:t>Assessment</w:t>
            </w:r>
          </w:p>
        </w:tc>
      </w:tr>
      <w:tr w:rsidR="002619FC" w:rsidTr="002619FC">
        <w:tc>
          <w:tcPr>
            <w:tcW w:w="2398" w:type="dxa"/>
          </w:tcPr>
          <w:p w:rsidR="00316B18" w:rsidRDefault="00316B18" w:rsidP="00073127">
            <w:r>
              <w:t>In your community, who influences child development and outcomes throughout the birth to grade 3 continuum?</w:t>
            </w:r>
          </w:p>
        </w:tc>
        <w:tc>
          <w:tcPr>
            <w:tcW w:w="2398" w:type="dxa"/>
          </w:tcPr>
          <w:p w:rsidR="002619FC" w:rsidRDefault="002619FC" w:rsidP="00073127"/>
          <w:p w:rsidR="00FC1ED7" w:rsidRDefault="00FC1ED7" w:rsidP="00073127"/>
          <w:p w:rsidR="00FC1ED7" w:rsidRDefault="00FC1ED7" w:rsidP="00073127"/>
          <w:p w:rsidR="00FC1ED7" w:rsidRDefault="00FC1ED7" w:rsidP="00073127"/>
        </w:tc>
        <w:tc>
          <w:tcPr>
            <w:tcW w:w="2398" w:type="dxa"/>
          </w:tcPr>
          <w:p w:rsidR="002619FC" w:rsidRDefault="002619FC" w:rsidP="00073127"/>
        </w:tc>
        <w:tc>
          <w:tcPr>
            <w:tcW w:w="2398" w:type="dxa"/>
          </w:tcPr>
          <w:p w:rsidR="002619FC" w:rsidRDefault="002619FC" w:rsidP="00073127"/>
        </w:tc>
        <w:tc>
          <w:tcPr>
            <w:tcW w:w="2399" w:type="dxa"/>
          </w:tcPr>
          <w:p w:rsidR="002619FC" w:rsidRDefault="002619FC" w:rsidP="00073127"/>
        </w:tc>
        <w:tc>
          <w:tcPr>
            <w:tcW w:w="2399" w:type="dxa"/>
          </w:tcPr>
          <w:p w:rsidR="002619FC" w:rsidRDefault="002619FC" w:rsidP="00073127"/>
        </w:tc>
      </w:tr>
      <w:tr w:rsidR="00101B98" w:rsidTr="002619FC">
        <w:tc>
          <w:tcPr>
            <w:tcW w:w="2398" w:type="dxa"/>
          </w:tcPr>
          <w:p w:rsidR="00101B98" w:rsidRDefault="00101B98" w:rsidP="00073127">
            <w:r>
              <w:t>Annually update a mapping of “feeder patterns” of children into public schools and of mobility patterns of children, PreK-3rd.</w:t>
            </w:r>
          </w:p>
        </w:tc>
        <w:tc>
          <w:tcPr>
            <w:tcW w:w="2398" w:type="dxa"/>
          </w:tcPr>
          <w:p w:rsidR="00101B98" w:rsidRDefault="00101B98" w:rsidP="00073127"/>
        </w:tc>
        <w:tc>
          <w:tcPr>
            <w:tcW w:w="2398" w:type="dxa"/>
          </w:tcPr>
          <w:p w:rsidR="00101B98" w:rsidRDefault="00101B98" w:rsidP="00073127"/>
        </w:tc>
        <w:tc>
          <w:tcPr>
            <w:tcW w:w="2398" w:type="dxa"/>
          </w:tcPr>
          <w:p w:rsidR="00101B98" w:rsidRDefault="00101B98" w:rsidP="00073127"/>
        </w:tc>
        <w:tc>
          <w:tcPr>
            <w:tcW w:w="2399" w:type="dxa"/>
          </w:tcPr>
          <w:p w:rsidR="00101B98" w:rsidRDefault="00101B98" w:rsidP="00073127"/>
        </w:tc>
        <w:tc>
          <w:tcPr>
            <w:tcW w:w="2399" w:type="dxa"/>
          </w:tcPr>
          <w:p w:rsidR="00101B98" w:rsidRDefault="00101B98" w:rsidP="00073127"/>
        </w:tc>
      </w:tr>
      <w:tr w:rsidR="00316B18" w:rsidTr="002619FC">
        <w:tc>
          <w:tcPr>
            <w:tcW w:w="2398" w:type="dxa"/>
          </w:tcPr>
          <w:p w:rsidR="00FC1ED7" w:rsidRDefault="00FC1ED7" w:rsidP="00073127">
            <w:r>
              <w:t>Increase the number of partnerships between elementary schools, the early learning programs that feed into them, and families.</w:t>
            </w:r>
          </w:p>
        </w:tc>
        <w:tc>
          <w:tcPr>
            <w:tcW w:w="2398" w:type="dxa"/>
          </w:tcPr>
          <w:p w:rsidR="00316B18" w:rsidRDefault="00316B18" w:rsidP="00073127"/>
        </w:tc>
        <w:tc>
          <w:tcPr>
            <w:tcW w:w="2398" w:type="dxa"/>
          </w:tcPr>
          <w:p w:rsidR="00316B18" w:rsidRDefault="00316B18" w:rsidP="00073127"/>
        </w:tc>
        <w:tc>
          <w:tcPr>
            <w:tcW w:w="2398" w:type="dxa"/>
          </w:tcPr>
          <w:p w:rsidR="00316B18" w:rsidRDefault="00316B18" w:rsidP="00073127"/>
        </w:tc>
        <w:tc>
          <w:tcPr>
            <w:tcW w:w="2399" w:type="dxa"/>
          </w:tcPr>
          <w:p w:rsidR="00316B18" w:rsidRDefault="00316B18" w:rsidP="00073127"/>
        </w:tc>
        <w:tc>
          <w:tcPr>
            <w:tcW w:w="2399" w:type="dxa"/>
          </w:tcPr>
          <w:p w:rsidR="00316B18" w:rsidRDefault="00316B18" w:rsidP="00073127"/>
        </w:tc>
      </w:tr>
      <w:tr w:rsidR="00101B98" w:rsidTr="002619FC">
        <w:tc>
          <w:tcPr>
            <w:tcW w:w="2398" w:type="dxa"/>
          </w:tcPr>
          <w:p w:rsidR="00101B98" w:rsidRDefault="00101B98" w:rsidP="00073127">
            <w:r>
              <w:t>Establish common transition forms and processes across all classrooms, settings, and age/grade levels.</w:t>
            </w:r>
          </w:p>
        </w:tc>
        <w:tc>
          <w:tcPr>
            <w:tcW w:w="2398" w:type="dxa"/>
          </w:tcPr>
          <w:p w:rsidR="00101B98" w:rsidRDefault="00101B98" w:rsidP="00073127"/>
        </w:tc>
        <w:tc>
          <w:tcPr>
            <w:tcW w:w="2398" w:type="dxa"/>
          </w:tcPr>
          <w:p w:rsidR="00101B98" w:rsidRDefault="00101B98" w:rsidP="00073127"/>
        </w:tc>
        <w:tc>
          <w:tcPr>
            <w:tcW w:w="2398" w:type="dxa"/>
          </w:tcPr>
          <w:p w:rsidR="00101B98" w:rsidRDefault="00101B98" w:rsidP="00073127"/>
        </w:tc>
        <w:tc>
          <w:tcPr>
            <w:tcW w:w="2399" w:type="dxa"/>
          </w:tcPr>
          <w:p w:rsidR="00101B98" w:rsidRDefault="00101B98" w:rsidP="00073127"/>
        </w:tc>
        <w:tc>
          <w:tcPr>
            <w:tcW w:w="2399" w:type="dxa"/>
          </w:tcPr>
          <w:p w:rsidR="00101B98" w:rsidRDefault="00101B98" w:rsidP="00073127"/>
        </w:tc>
      </w:tr>
      <w:tr w:rsidR="00101B98" w:rsidTr="002619FC">
        <w:tc>
          <w:tcPr>
            <w:tcW w:w="2398" w:type="dxa"/>
          </w:tcPr>
          <w:p w:rsidR="00101B98" w:rsidRDefault="00101B98" w:rsidP="00073127">
            <w:r>
              <w:lastRenderedPageBreak/>
              <w:t>Identify the variety of federal, state, local, and private funding sources (e.g., Title I, Title II, Special Education, Head Start, Child Care Development Block Grant, philanthropic grants) that include services for children, PreK-3rd, and combine and blend resources to address PreK-3rd goals.</w:t>
            </w:r>
          </w:p>
          <w:p w:rsidR="00101B98" w:rsidRDefault="00101B98" w:rsidP="00073127"/>
        </w:tc>
        <w:tc>
          <w:tcPr>
            <w:tcW w:w="2398" w:type="dxa"/>
          </w:tcPr>
          <w:p w:rsidR="00101B98" w:rsidRDefault="00101B98" w:rsidP="00073127"/>
        </w:tc>
        <w:tc>
          <w:tcPr>
            <w:tcW w:w="2398" w:type="dxa"/>
          </w:tcPr>
          <w:p w:rsidR="00101B98" w:rsidRDefault="00101B98" w:rsidP="00073127"/>
        </w:tc>
        <w:tc>
          <w:tcPr>
            <w:tcW w:w="2398" w:type="dxa"/>
          </w:tcPr>
          <w:p w:rsidR="00101B98" w:rsidRDefault="00101B98" w:rsidP="00073127"/>
        </w:tc>
        <w:tc>
          <w:tcPr>
            <w:tcW w:w="2399" w:type="dxa"/>
          </w:tcPr>
          <w:p w:rsidR="00101B98" w:rsidRDefault="00101B98" w:rsidP="00073127"/>
        </w:tc>
        <w:tc>
          <w:tcPr>
            <w:tcW w:w="2399" w:type="dxa"/>
          </w:tcPr>
          <w:p w:rsidR="00101B98" w:rsidRDefault="00101B98" w:rsidP="00073127"/>
        </w:tc>
      </w:tr>
      <w:tr w:rsidR="00101B98" w:rsidTr="002619FC">
        <w:tc>
          <w:tcPr>
            <w:tcW w:w="2398" w:type="dxa"/>
          </w:tcPr>
          <w:p w:rsidR="00101B98" w:rsidRDefault="00101B98" w:rsidP="00073127">
            <w:r>
              <w:t>Develop learning progressions that support children’s continuous progress from year to year.</w:t>
            </w:r>
          </w:p>
          <w:p w:rsidR="00101B98" w:rsidRDefault="00101B98" w:rsidP="00073127"/>
          <w:p w:rsidR="00101B98" w:rsidRDefault="00101B98" w:rsidP="00073127"/>
        </w:tc>
        <w:tc>
          <w:tcPr>
            <w:tcW w:w="2398" w:type="dxa"/>
          </w:tcPr>
          <w:p w:rsidR="00101B98" w:rsidRDefault="00101B98" w:rsidP="00073127"/>
        </w:tc>
        <w:tc>
          <w:tcPr>
            <w:tcW w:w="2398" w:type="dxa"/>
          </w:tcPr>
          <w:p w:rsidR="00101B98" w:rsidRDefault="00101B98" w:rsidP="00073127"/>
        </w:tc>
        <w:tc>
          <w:tcPr>
            <w:tcW w:w="2398" w:type="dxa"/>
          </w:tcPr>
          <w:p w:rsidR="00101B98" w:rsidRDefault="00101B98" w:rsidP="00073127"/>
        </w:tc>
        <w:tc>
          <w:tcPr>
            <w:tcW w:w="2399" w:type="dxa"/>
          </w:tcPr>
          <w:p w:rsidR="00101B98" w:rsidRDefault="00101B98" w:rsidP="00073127"/>
        </w:tc>
        <w:tc>
          <w:tcPr>
            <w:tcW w:w="2399" w:type="dxa"/>
          </w:tcPr>
          <w:p w:rsidR="00101B98" w:rsidRDefault="00101B98" w:rsidP="00073127"/>
        </w:tc>
      </w:tr>
      <w:tr w:rsidR="00101B98" w:rsidTr="002619FC">
        <w:tc>
          <w:tcPr>
            <w:tcW w:w="2398" w:type="dxa"/>
          </w:tcPr>
          <w:p w:rsidR="00101B98" w:rsidRDefault="00101B98" w:rsidP="00073127">
            <w:r>
              <w:t>Establish and regularly update district-level inventories of appropriate assessment tools and data markers.</w:t>
            </w:r>
          </w:p>
          <w:p w:rsidR="00101B98" w:rsidRDefault="00101B98" w:rsidP="00073127"/>
        </w:tc>
        <w:tc>
          <w:tcPr>
            <w:tcW w:w="2398" w:type="dxa"/>
          </w:tcPr>
          <w:p w:rsidR="00101B98" w:rsidRDefault="00101B98" w:rsidP="00073127"/>
        </w:tc>
        <w:tc>
          <w:tcPr>
            <w:tcW w:w="2398" w:type="dxa"/>
          </w:tcPr>
          <w:p w:rsidR="00101B98" w:rsidRDefault="00101B98" w:rsidP="00073127"/>
        </w:tc>
        <w:tc>
          <w:tcPr>
            <w:tcW w:w="2398" w:type="dxa"/>
          </w:tcPr>
          <w:p w:rsidR="00101B98" w:rsidRDefault="00101B98" w:rsidP="00073127"/>
        </w:tc>
        <w:tc>
          <w:tcPr>
            <w:tcW w:w="2399" w:type="dxa"/>
          </w:tcPr>
          <w:p w:rsidR="00101B98" w:rsidRDefault="00101B98" w:rsidP="00073127"/>
        </w:tc>
        <w:tc>
          <w:tcPr>
            <w:tcW w:w="2399" w:type="dxa"/>
          </w:tcPr>
          <w:p w:rsidR="00101B98" w:rsidRDefault="00101B98" w:rsidP="00073127"/>
        </w:tc>
      </w:tr>
      <w:tr w:rsidR="00101B98" w:rsidTr="002619FC">
        <w:tc>
          <w:tcPr>
            <w:tcW w:w="2398" w:type="dxa"/>
          </w:tcPr>
          <w:p w:rsidR="00101B98" w:rsidRDefault="00101B98" w:rsidP="00073127">
            <w:r>
              <w:lastRenderedPageBreak/>
              <w:t>Establish priorities and plans for every building to have dedicated resources that promote staff collaboration, adult learning, and joint-decision-making (e.g., time, opportunity, and space for adults to meet and work together comfortably).</w:t>
            </w:r>
          </w:p>
        </w:tc>
        <w:tc>
          <w:tcPr>
            <w:tcW w:w="2398" w:type="dxa"/>
          </w:tcPr>
          <w:p w:rsidR="00101B98" w:rsidRDefault="00101B98" w:rsidP="00073127"/>
        </w:tc>
        <w:tc>
          <w:tcPr>
            <w:tcW w:w="2398" w:type="dxa"/>
          </w:tcPr>
          <w:p w:rsidR="00101B98" w:rsidRDefault="00101B98" w:rsidP="00073127"/>
        </w:tc>
        <w:tc>
          <w:tcPr>
            <w:tcW w:w="2398" w:type="dxa"/>
          </w:tcPr>
          <w:p w:rsidR="00101B98" w:rsidRDefault="00101B98" w:rsidP="00073127"/>
        </w:tc>
        <w:tc>
          <w:tcPr>
            <w:tcW w:w="2399" w:type="dxa"/>
          </w:tcPr>
          <w:p w:rsidR="00101B98" w:rsidRDefault="00101B98" w:rsidP="00073127"/>
        </w:tc>
        <w:tc>
          <w:tcPr>
            <w:tcW w:w="2399" w:type="dxa"/>
          </w:tcPr>
          <w:p w:rsidR="00101B98" w:rsidRDefault="00101B98" w:rsidP="00073127"/>
        </w:tc>
      </w:tr>
      <w:tr w:rsidR="00101B98" w:rsidTr="002619FC">
        <w:tc>
          <w:tcPr>
            <w:tcW w:w="2398" w:type="dxa"/>
          </w:tcPr>
          <w:p w:rsidR="00101B98" w:rsidRDefault="00101B98" w:rsidP="00073127">
            <w:r>
              <w:t>Enact and support cross-sector and cross-grade professional development opportunities for teachers that reflect best practices.</w:t>
            </w:r>
          </w:p>
        </w:tc>
        <w:tc>
          <w:tcPr>
            <w:tcW w:w="2398" w:type="dxa"/>
          </w:tcPr>
          <w:p w:rsidR="00101B98" w:rsidRDefault="00101B98" w:rsidP="00073127"/>
        </w:tc>
        <w:tc>
          <w:tcPr>
            <w:tcW w:w="2398" w:type="dxa"/>
          </w:tcPr>
          <w:p w:rsidR="00101B98" w:rsidRDefault="00101B98" w:rsidP="00073127"/>
        </w:tc>
        <w:tc>
          <w:tcPr>
            <w:tcW w:w="2398" w:type="dxa"/>
          </w:tcPr>
          <w:p w:rsidR="00101B98" w:rsidRDefault="00101B98" w:rsidP="00073127"/>
        </w:tc>
        <w:tc>
          <w:tcPr>
            <w:tcW w:w="2399" w:type="dxa"/>
          </w:tcPr>
          <w:p w:rsidR="00101B98" w:rsidRDefault="00101B98" w:rsidP="00073127"/>
        </w:tc>
        <w:tc>
          <w:tcPr>
            <w:tcW w:w="2399" w:type="dxa"/>
          </w:tcPr>
          <w:p w:rsidR="00101B98" w:rsidRDefault="00101B98" w:rsidP="00073127"/>
        </w:tc>
      </w:tr>
      <w:tr w:rsidR="00101B98" w:rsidTr="002619FC">
        <w:tc>
          <w:tcPr>
            <w:tcW w:w="2398" w:type="dxa"/>
          </w:tcPr>
          <w:p w:rsidR="00101B98" w:rsidRDefault="00101B98" w:rsidP="00073127">
            <w:r>
              <w:t>Demonstrate innovative efforts to create and standardize time for school- and community-based teachers to work together across different daily, weekly, quarterly, and school year calendars.</w:t>
            </w:r>
          </w:p>
        </w:tc>
        <w:tc>
          <w:tcPr>
            <w:tcW w:w="2398" w:type="dxa"/>
          </w:tcPr>
          <w:p w:rsidR="00101B98" w:rsidRDefault="00101B98" w:rsidP="00073127"/>
        </w:tc>
        <w:tc>
          <w:tcPr>
            <w:tcW w:w="2398" w:type="dxa"/>
          </w:tcPr>
          <w:p w:rsidR="00101B98" w:rsidRDefault="00101B98" w:rsidP="00073127"/>
        </w:tc>
        <w:tc>
          <w:tcPr>
            <w:tcW w:w="2398" w:type="dxa"/>
          </w:tcPr>
          <w:p w:rsidR="00101B98" w:rsidRDefault="00101B98" w:rsidP="00073127"/>
        </w:tc>
        <w:tc>
          <w:tcPr>
            <w:tcW w:w="2399" w:type="dxa"/>
          </w:tcPr>
          <w:p w:rsidR="00101B98" w:rsidRDefault="00101B98" w:rsidP="00073127"/>
        </w:tc>
        <w:tc>
          <w:tcPr>
            <w:tcW w:w="2399" w:type="dxa"/>
          </w:tcPr>
          <w:p w:rsidR="00101B98" w:rsidRDefault="00101B98" w:rsidP="00073127"/>
        </w:tc>
      </w:tr>
    </w:tbl>
    <w:p w:rsidR="00547E68" w:rsidRPr="00073127" w:rsidRDefault="00547E68" w:rsidP="00073127"/>
    <w:sectPr w:rsidR="00547E68" w:rsidRPr="00073127" w:rsidSect="002619FC">
      <w:footerReference w:type="default" r:id="rId11"/>
      <w:footerReference w:type="first" r:id="rId12"/>
      <w:type w:val="continuous"/>
      <w:pgSz w:w="15840" w:h="12240" w:orient="landscape" w:code="1"/>
      <w:pgMar w:top="720" w:right="720" w:bottom="72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5A" w:rsidRDefault="00EC7C5A" w:rsidP="00D91FF4">
      <w:r>
        <w:separator/>
      </w:r>
    </w:p>
  </w:endnote>
  <w:endnote w:type="continuationSeparator" w:id="0">
    <w:p w:rsidR="00EC7C5A" w:rsidRDefault="00EC7C5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5A" w:rsidRDefault="00EC7C5A" w:rsidP="00D91FF4">
      <w:r>
        <w:separator/>
      </w:r>
    </w:p>
  </w:footnote>
  <w:footnote w:type="continuationSeparator" w:id="0">
    <w:p w:rsidR="00EC7C5A" w:rsidRDefault="00EC7C5A"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25pt;height:25.8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FC"/>
    <w:rsid w:val="000003C4"/>
    <w:rsid w:val="00002DEC"/>
    <w:rsid w:val="000065AC"/>
    <w:rsid w:val="00006A0A"/>
    <w:rsid w:val="000136DE"/>
    <w:rsid w:val="00021F9D"/>
    <w:rsid w:val="00040C79"/>
    <w:rsid w:val="00064B90"/>
    <w:rsid w:val="000722DA"/>
    <w:rsid w:val="00073127"/>
    <w:rsid w:val="0007374A"/>
    <w:rsid w:val="00077A06"/>
    <w:rsid w:val="00080404"/>
    <w:rsid w:val="000824F0"/>
    <w:rsid w:val="00084742"/>
    <w:rsid w:val="000B0A75"/>
    <w:rsid w:val="000B2E68"/>
    <w:rsid w:val="000C3708"/>
    <w:rsid w:val="000C3761"/>
    <w:rsid w:val="000C7373"/>
    <w:rsid w:val="000E313B"/>
    <w:rsid w:val="000E3E9D"/>
    <w:rsid w:val="000F4BB1"/>
    <w:rsid w:val="00101B98"/>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19FC"/>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16B18"/>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D6819"/>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C7C5A"/>
    <w:rsid w:val="00ED5BDC"/>
    <w:rsid w:val="00ED7DAC"/>
    <w:rsid w:val="00F067A6"/>
    <w:rsid w:val="00F20B25"/>
    <w:rsid w:val="00F212F3"/>
    <w:rsid w:val="00F278C3"/>
    <w:rsid w:val="00F3338D"/>
    <w:rsid w:val="00F70C03"/>
    <w:rsid w:val="00F9084A"/>
    <w:rsid w:val="00FB6E40"/>
    <w:rsid w:val="00FC1ED7"/>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FC125"/>
  <w15:chartTrackingRefBased/>
  <w15:docId w15:val="{B72DA22F-A3B6-480D-9F53-32915732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BalloonText">
    <w:name w:val="Balloon Text"/>
    <w:basedOn w:val="Normal"/>
    <w:link w:val="BalloonTextChar"/>
    <w:semiHidden/>
    <w:unhideWhenUsed/>
    <w:rsid w:val="00101B9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0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12A050F9-0267-4CBF-9249-64E61D2A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5546</TotalTime>
  <Pages>3</Pages>
  <Words>217</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Mike P (MDE)</dc:creator>
  <cp:keywords/>
  <dc:description/>
  <cp:lastModifiedBy>Brown, Mike P (MDE)</cp:lastModifiedBy>
  <cp:revision>3</cp:revision>
  <cp:lastPrinted>2018-08-21T19:49:00Z</cp:lastPrinted>
  <dcterms:created xsi:type="dcterms:W3CDTF">2018-08-17T18:47:00Z</dcterms:created>
  <dcterms:modified xsi:type="dcterms:W3CDTF">2018-11-27T23:11:00Z</dcterms:modified>
</cp:coreProperties>
</file>